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74" w:rsidRPr="001F14CB" w:rsidRDefault="00424B14" w:rsidP="001F14CB">
      <w:pPr>
        <w:pStyle w:val="DocumentTitle-HCG"/>
        <w:rPr>
          <w:szCs w:val="32"/>
        </w:rPr>
      </w:pPr>
      <w:r>
        <w:rPr>
          <w:szCs w:val="32"/>
        </w:rPr>
        <w:t>SOP: Non-Committee Review Conduct</w:t>
      </w:r>
    </w:p>
    <w:p w:rsidR="00B34974" w:rsidRDefault="00424B14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:rsidR="00B3497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procedure establishes the process for a </w:t>
      </w:r>
      <w:r>
        <w:rPr>
          <w:rFonts w:cs="Arial"/>
          <w:sz w:val="22"/>
          <w:szCs w:val="22"/>
          <w:u w:val="double"/>
        </w:rPr>
        <w:t>Designated Reviewer</w:t>
      </w:r>
      <w:r>
        <w:rPr>
          <w:rFonts w:cs="Arial"/>
          <w:sz w:val="22"/>
          <w:szCs w:val="22"/>
        </w:rPr>
        <w:t xml:space="preserve"> to conduct a </w:t>
      </w:r>
      <w:r>
        <w:rPr>
          <w:rFonts w:cs="Arial"/>
          <w:sz w:val="22"/>
          <w:szCs w:val="22"/>
          <w:u w:val="double"/>
        </w:rPr>
        <w:t>Non-Committee Review</w:t>
      </w:r>
      <w:r>
        <w:rPr>
          <w:rFonts w:cs="Arial"/>
          <w:sz w:val="22"/>
          <w:szCs w:val="22"/>
        </w:rPr>
        <w:t>.</w:t>
      </w:r>
    </w:p>
    <w:p w:rsidR="00B3497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the </w:t>
      </w:r>
      <w:r>
        <w:rPr>
          <w:rFonts w:cs="Arial"/>
          <w:sz w:val="22"/>
          <w:szCs w:val="22"/>
          <w:u w:val="double"/>
        </w:rPr>
        <w:t>Designated Reviewer</w:t>
      </w:r>
      <w:r>
        <w:rPr>
          <w:rFonts w:cs="Arial"/>
          <w:sz w:val="22"/>
          <w:szCs w:val="22"/>
        </w:rPr>
        <w:t xml:space="preserve"> has the provided materials.</w:t>
      </w:r>
    </w:p>
    <w:p w:rsidR="00B3497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</w:t>
      </w:r>
      <w:r>
        <w:rPr>
          <w:rFonts w:cs="Arial"/>
          <w:sz w:val="22"/>
          <w:szCs w:val="22"/>
          <w:u w:val="double"/>
        </w:rPr>
        <w:t>Designated Reviewer</w:t>
      </w:r>
      <w:r>
        <w:rPr>
          <w:rFonts w:cs="Arial"/>
          <w:sz w:val="22"/>
          <w:szCs w:val="22"/>
        </w:rPr>
        <w:t xml:space="preserve"> completes the review and returns the completed materials to an IRB staff member.</w:t>
      </w:r>
    </w:p>
    <w:p w:rsidR="00B34974" w:rsidRDefault="00424B14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:rsidR="00B34974" w:rsidRPr="00E337E4" w:rsidRDefault="00663DFC">
      <w:pPr>
        <w:pStyle w:val="SOPLevel2"/>
        <w:spacing w:line="276" w:lineRule="auto"/>
        <w:rPr>
          <w:rFonts w:cs="Arial"/>
          <w:sz w:val="22"/>
          <w:szCs w:val="22"/>
        </w:rPr>
      </w:pPr>
      <w:bookmarkStart w:id="0" w:name="_GoBack"/>
      <w:r w:rsidRPr="00E337E4">
        <w:rPr>
          <w:rFonts w:cs="Arial"/>
          <w:sz w:val="22"/>
          <w:szCs w:val="22"/>
        </w:rPr>
        <w:t>Change from departmental exempt determiner to a PPHS staff member who is a Certified IRB Professional (CIP).</w:t>
      </w:r>
    </w:p>
    <w:p w:rsidR="00EE7160" w:rsidRPr="00E337E4" w:rsidRDefault="00EE7160">
      <w:pPr>
        <w:pStyle w:val="SOPLevel2"/>
        <w:spacing w:line="276" w:lineRule="auto"/>
        <w:rPr>
          <w:rFonts w:cs="Arial"/>
          <w:sz w:val="22"/>
          <w:szCs w:val="22"/>
        </w:rPr>
      </w:pPr>
      <w:r w:rsidRPr="00E337E4">
        <w:rPr>
          <w:rFonts w:cs="Arial"/>
          <w:sz w:val="22"/>
          <w:szCs w:val="22"/>
        </w:rPr>
        <w:t>Added 5.4</w:t>
      </w:r>
    </w:p>
    <w:p w:rsidR="00B34974" w:rsidRPr="00E337E4" w:rsidRDefault="00424B14">
      <w:pPr>
        <w:pStyle w:val="SOPLevel1"/>
        <w:spacing w:line="276" w:lineRule="auto"/>
        <w:rPr>
          <w:rFonts w:cs="Arial"/>
          <w:sz w:val="22"/>
          <w:szCs w:val="22"/>
        </w:rPr>
      </w:pPr>
      <w:r w:rsidRPr="00E337E4">
        <w:rPr>
          <w:rFonts w:cs="Arial"/>
          <w:sz w:val="22"/>
          <w:szCs w:val="22"/>
        </w:rPr>
        <w:t>POLICY</w:t>
      </w:r>
    </w:p>
    <w:bookmarkEnd w:id="0"/>
    <w:p w:rsidR="00B3497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  <w:u w:val="double"/>
        </w:rPr>
        <w:t>Designated Reviewer</w:t>
      </w:r>
      <w:r>
        <w:rPr>
          <w:rFonts w:cs="Arial"/>
          <w:sz w:val="22"/>
          <w:szCs w:val="22"/>
        </w:rPr>
        <w:t xml:space="preserve"> may not disapprove research.</w:t>
      </w:r>
    </w:p>
    <w:p w:rsidR="00B3497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  <w:u w:val="double"/>
        </w:rPr>
        <w:t>Designated Reviewer</w:t>
      </w:r>
      <w:r>
        <w:rPr>
          <w:rFonts w:cs="Arial"/>
          <w:sz w:val="22"/>
          <w:szCs w:val="22"/>
        </w:rPr>
        <w:t xml:space="preserve"> utilizes all applicable worksheets in the review of research.</w:t>
      </w:r>
    </w:p>
    <w:p w:rsidR="00B3497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All applicable criteria for approval in HRP-314 - WORKSHEET - Criteria for Approval must be satisfied in order for the research to be approved using the expedited procedure.</w:t>
      </w:r>
    </w:p>
    <w:p w:rsidR="00B34974" w:rsidRPr="00E337E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All applicable criteria for approval in HRP-312 - WORKSHEET - Exemption Determination must be </w:t>
      </w:r>
      <w:r w:rsidRPr="00E337E4">
        <w:rPr>
          <w:rFonts w:cs="Arial"/>
          <w:sz w:val="22"/>
          <w:szCs w:val="22"/>
        </w:rPr>
        <w:t xml:space="preserve">satisfied for research to be determined to be exempt. </w:t>
      </w:r>
    </w:p>
    <w:p w:rsidR="00663DFC" w:rsidRPr="00E337E4" w:rsidRDefault="00663DFC">
      <w:pPr>
        <w:pStyle w:val="SOPLevel2"/>
        <w:spacing w:line="276" w:lineRule="auto"/>
        <w:rPr>
          <w:rFonts w:cs="Arial"/>
          <w:sz w:val="22"/>
          <w:szCs w:val="22"/>
        </w:rPr>
      </w:pPr>
      <w:proofErr w:type="gramStart"/>
      <w:r w:rsidRPr="00E337E4">
        <w:rPr>
          <w:rFonts w:cs="Arial"/>
          <w:sz w:val="22"/>
          <w:szCs w:val="22"/>
        </w:rPr>
        <w:t>All exempt determinations are made by a PPHS staff member who is a CIP</w:t>
      </w:r>
      <w:proofErr w:type="gramEnd"/>
      <w:r w:rsidR="00107304" w:rsidRPr="00E337E4">
        <w:rPr>
          <w:rFonts w:cs="Arial"/>
          <w:sz w:val="22"/>
          <w:szCs w:val="22"/>
        </w:rPr>
        <w:t>.</w:t>
      </w:r>
    </w:p>
    <w:p w:rsidR="00B34974" w:rsidRPr="00E337E4" w:rsidRDefault="00424B14">
      <w:pPr>
        <w:pStyle w:val="SOPLevel1"/>
        <w:spacing w:line="276" w:lineRule="auto"/>
        <w:rPr>
          <w:rFonts w:cs="Arial"/>
          <w:sz w:val="22"/>
          <w:szCs w:val="22"/>
        </w:rPr>
      </w:pPr>
      <w:r w:rsidRPr="00E337E4">
        <w:rPr>
          <w:rFonts w:cs="Arial"/>
          <w:sz w:val="22"/>
          <w:szCs w:val="22"/>
        </w:rPr>
        <w:t>RESPONSIBILITIES</w:t>
      </w:r>
    </w:p>
    <w:p w:rsidR="00B34974" w:rsidRPr="00E337E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 w:rsidRPr="00E337E4">
        <w:rPr>
          <w:rFonts w:cs="Arial"/>
          <w:sz w:val="22"/>
          <w:szCs w:val="22"/>
        </w:rPr>
        <w:t xml:space="preserve">The </w:t>
      </w:r>
      <w:r w:rsidRPr="00E337E4">
        <w:rPr>
          <w:rFonts w:cs="Arial"/>
          <w:sz w:val="22"/>
          <w:szCs w:val="22"/>
          <w:u w:val="double"/>
        </w:rPr>
        <w:t>Designated Reviewer</w:t>
      </w:r>
      <w:r w:rsidRPr="00E337E4">
        <w:rPr>
          <w:rFonts w:cs="Arial"/>
          <w:sz w:val="22"/>
          <w:szCs w:val="22"/>
        </w:rPr>
        <w:t xml:space="preserve"> carries out these procedures.</w:t>
      </w:r>
    </w:p>
    <w:p w:rsidR="00663DFC" w:rsidRPr="00E337E4" w:rsidRDefault="00663DFC">
      <w:pPr>
        <w:pStyle w:val="SOPLevel2"/>
        <w:spacing w:line="276" w:lineRule="auto"/>
        <w:rPr>
          <w:rFonts w:cs="Arial"/>
          <w:sz w:val="22"/>
          <w:szCs w:val="22"/>
        </w:rPr>
      </w:pPr>
      <w:r w:rsidRPr="00E337E4">
        <w:rPr>
          <w:rFonts w:cs="Arial"/>
          <w:sz w:val="22"/>
          <w:szCs w:val="22"/>
        </w:rPr>
        <w:t>Exempt determinations are made by a PPHS staff member who is a CIP.</w:t>
      </w:r>
    </w:p>
    <w:p w:rsidR="00B34974" w:rsidRPr="00E337E4" w:rsidRDefault="00424B14">
      <w:pPr>
        <w:pStyle w:val="SOPLevel1"/>
        <w:spacing w:line="276" w:lineRule="auto"/>
        <w:rPr>
          <w:rFonts w:cs="Arial"/>
          <w:sz w:val="22"/>
          <w:szCs w:val="22"/>
        </w:rPr>
      </w:pPr>
      <w:r w:rsidRPr="00E337E4">
        <w:rPr>
          <w:rFonts w:cs="Arial"/>
          <w:sz w:val="22"/>
          <w:szCs w:val="22"/>
        </w:rPr>
        <w:t>PROCEDURE</w:t>
      </w:r>
    </w:p>
    <w:p w:rsidR="00B34974" w:rsidRPr="00E337E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 w:rsidRPr="00E337E4">
        <w:rPr>
          <w:rFonts w:cs="Arial"/>
          <w:sz w:val="22"/>
          <w:szCs w:val="22"/>
        </w:rPr>
        <w:t>Review all materials.</w:t>
      </w:r>
    </w:p>
    <w:p w:rsidR="00B34974" w:rsidRPr="00E337E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 w:rsidRPr="00E337E4">
        <w:rPr>
          <w:rFonts w:cs="Arial"/>
          <w:sz w:val="22"/>
          <w:szCs w:val="22"/>
        </w:rPr>
        <w:t>Determine the required level of review:</w:t>
      </w:r>
    </w:p>
    <w:p w:rsidR="00B34974" w:rsidRPr="00E337E4" w:rsidRDefault="00424B14">
      <w:pPr>
        <w:pStyle w:val="SOPLevel3"/>
        <w:spacing w:line="276" w:lineRule="auto"/>
        <w:rPr>
          <w:sz w:val="22"/>
          <w:szCs w:val="22"/>
        </w:rPr>
      </w:pPr>
      <w:r w:rsidRPr="00E337E4">
        <w:rPr>
          <w:sz w:val="22"/>
          <w:szCs w:val="22"/>
        </w:rPr>
        <w:t xml:space="preserve">Not </w:t>
      </w:r>
      <w:r w:rsidRPr="00E337E4">
        <w:rPr>
          <w:sz w:val="22"/>
          <w:szCs w:val="22"/>
          <w:u w:val="double"/>
        </w:rPr>
        <w:t>Human Research</w:t>
      </w:r>
      <w:r w:rsidRPr="00E337E4">
        <w:rPr>
          <w:sz w:val="22"/>
          <w:szCs w:val="22"/>
        </w:rPr>
        <w:t xml:space="preserve">, </w:t>
      </w:r>
    </w:p>
    <w:p w:rsidR="00B34974" w:rsidRPr="00E337E4" w:rsidRDefault="00424B14">
      <w:pPr>
        <w:pStyle w:val="SOPLevel3"/>
        <w:spacing w:line="276" w:lineRule="auto"/>
        <w:rPr>
          <w:sz w:val="22"/>
          <w:szCs w:val="22"/>
        </w:rPr>
      </w:pPr>
      <w:r w:rsidRPr="00E337E4">
        <w:rPr>
          <w:sz w:val="22"/>
          <w:szCs w:val="22"/>
          <w:u w:val="double"/>
        </w:rPr>
        <w:t>Human Research</w:t>
      </w:r>
      <w:r w:rsidRPr="00E337E4">
        <w:rPr>
          <w:sz w:val="22"/>
          <w:szCs w:val="22"/>
        </w:rPr>
        <w:t xml:space="preserve"> not Engaged, </w:t>
      </w:r>
    </w:p>
    <w:p w:rsidR="00B34974" w:rsidRPr="00E337E4" w:rsidRDefault="00424B14">
      <w:pPr>
        <w:pStyle w:val="SOPLevel3"/>
        <w:spacing w:line="276" w:lineRule="auto"/>
        <w:rPr>
          <w:sz w:val="22"/>
          <w:szCs w:val="22"/>
        </w:rPr>
      </w:pPr>
      <w:r w:rsidRPr="00E337E4">
        <w:rPr>
          <w:sz w:val="22"/>
          <w:szCs w:val="22"/>
        </w:rPr>
        <w:t xml:space="preserve">Exempt </w:t>
      </w:r>
      <w:r w:rsidRPr="00E337E4">
        <w:rPr>
          <w:sz w:val="22"/>
          <w:szCs w:val="22"/>
          <w:u w:val="double"/>
        </w:rPr>
        <w:t>Human Research</w:t>
      </w:r>
      <w:r w:rsidRPr="00E337E4">
        <w:rPr>
          <w:sz w:val="22"/>
          <w:szCs w:val="22"/>
        </w:rPr>
        <w:t xml:space="preserve"> </w:t>
      </w:r>
    </w:p>
    <w:p w:rsidR="00B34974" w:rsidRPr="00E337E4" w:rsidRDefault="00424B14">
      <w:pPr>
        <w:pStyle w:val="SOPLevel3"/>
        <w:spacing w:line="276" w:lineRule="auto"/>
        <w:rPr>
          <w:sz w:val="22"/>
          <w:szCs w:val="22"/>
        </w:rPr>
      </w:pPr>
      <w:r w:rsidRPr="00E337E4">
        <w:rPr>
          <w:sz w:val="22"/>
          <w:szCs w:val="22"/>
          <w:u w:val="double"/>
        </w:rPr>
        <w:t>Human Research</w:t>
      </w:r>
      <w:r w:rsidRPr="00E337E4">
        <w:rPr>
          <w:sz w:val="22"/>
          <w:szCs w:val="22"/>
        </w:rPr>
        <w:t xml:space="preserve"> approved using the expedited procedure, or </w:t>
      </w:r>
    </w:p>
    <w:p w:rsidR="00B34974" w:rsidRPr="00E337E4" w:rsidRDefault="00424B14">
      <w:pPr>
        <w:pStyle w:val="SOPLevel3"/>
        <w:spacing w:line="276" w:lineRule="auto"/>
        <w:rPr>
          <w:sz w:val="22"/>
          <w:szCs w:val="22"/>
        </w:rPr>
      </w:pPr>
      <w:r w:rsidRPr="00E337E4">
        <w:rPr>
          <w:sz w:val="22"/>
          <w:szCs w:val="22"/>
          <w:u w:val="double"/>
        </w:rPr>
        <w:t>Human Research</w:t>
      </w:r>
      <w:r w:rsidRPr="00E337E4">
        <w:rPr>
          <w:sz w:val="22"/>
          <w:szCs w:val="22"/>
        </w:rPr>
        <w:t xml:space="preserve"> that requires review by a convened IRB.</w:t>
      </w:r>
    </w:p>
    <w:p w:rsidR="00663DFC" w:rsidRPr="00E337E4" w:rsidRDefault="00663DFC" w:rsidP="0001357A">
      <w:pPr>
        <w:pStyle w:val="SOPLevel2"/>
        <w:spacing w:line="276" w:lineRule="auto"/>
        <w:rPr>
          <w:rFonts w:cs="Arial"/>
          <w:sz w:val="22"/>
          <w:szCs w:val="22"/>
        </w:rPr>
      </w:pPr>
      <w:r w:rsidRPr="00E337E4">
        <w:rPr>
          <w:rFonts w:cs="Arial"/>
          <w:sz w:val="22"/>
          <w:szCs w:val="22"/>
        </w:rPr>
        <w:t xml:space="preserve">If the study was submitted for an exempt determination and if the determination is </w:t>
      </w:r>
      <w:proofErr w:type="gramStart"/>
      <w:r w:rsidRPr="00E337E4">
        <w:rPr>
          <w:rFonts w:cs="Arial"/>
          <w:sz w:val="22"/>
          <w:szCs w:val="22"/>
        </w:rPr>
        <w:t>that</w:t>
      </w:r>
      <w:proofErr w:type="gramEnd"/>
      <w:r w:rsidRPr="00E337E4">
        <w:rPr>
          <w:rFonts w:cs="Arial"/>
          <w:sz w:val="22"/>
          <w:szCs w:val="22"/>
        </w:rPr>
        <w:t xml:space="preserve"> the research is not exempt from IRB review, communication </w:t>
      </w:r>
      <w:r w:rsidR="00FF1A2D" w:rsidRPr="00E337E4">
        <w:rPr>
          <w:rFonts w:cs="Arial"/>
          <w:sz w:val="22"/>
          <w:szCs w:val="22"/>
        </w:rPr>
        <w:t xml:space="preserve">will be sent </w:t>
      </w:r>
      <w:r w:rsidRPr="00E337E4">
        <w:rPr>
          <w:rFonts w:cs="Arial"/>
          <w:sz w:val="22"/>
          <w:szCs w:val="22"/>
        </w:rPr>
        <w:t>to the research team</w:t>
      </w:r>
      <w:r w:rsidR="00FF1A2D" w:rsidRPr="00E337E4">
        <w:rPr>
          <w:rFonts w:cs="Arial"/>
          <w:sz w:val="22"/>
          <w:szCs w:val="22"/>
        </w:rPr>
        <w:t>, indicating</w:t>
      </w:r>
      <w:r w:rsidRPr="00E337E4">
        <w:rPr>
          <w:rFonts w:cs="Arial"/>
          <w:sz w:val="22"/>
          <w:szCs w:val="22"/>
        </w:rPr>
        <w:t xml:space="preserve"> that a </w:t>
      </w:r>
      <w:r w:rsidR="00FF1A2D" w:rsidRPr="00E337E4">
        <w:rPr>
          <w:rFonts w:cs="Arial"/>
          <w:sz w:val="22"/>
          <w:szCs w:val="22"/>
        </w:rPr>
        <w:t>formal</w:t>
      </w:r>
      <w:r w:rsidRPr="00E337E4">
        <w:rPr>
          <w:rFonts w:cs="Arial"/>
          <w:sz w:val="22"/>
          <w:szCs w:val="22"/>
        </w:rPr>
        <w:t xml:space="preserve"> application to the IRB is necessary.</w:t>
      </w:r>
    </w:p>
    <w:p w:rsidR="003C0F4D" w:rsidRPr="00E337E4" w:rsidRDefault="00EE7160" w:rsidP="003C0F4D">
      <w:pPr>
        <w:pStyle w:val="SOPLevel2"/>
        <w:rPr>
          <w:sz w:val="22"/>
        </w:rPr>
      </w:pPr>
      <w:proofErr w:type="gramStart"/>
      <w:r w:rsidRPr="00E337E4">
        <w:rPr>
          <w:sz w:val="22"/>
        </w:rPr>
        <w:t>sIRB</w:t>
      </w:r>
      <w:proofErr w:type="gramEnd"/>
      <w:r w:rsidRPr="00E337E4">
        <w:rPr>
          <w:sz w:val="22"/>
        </w:rPr>
        <w:t xml:space="preserve"> external site activation: If ISMMS is serving as the sIRB, determine whether external sites can be activated using the expedited review procedure or if the sites need to be reviewed and activated during a convened meeting.  </w:t>
      </w:r>
      <w:r w:rsidRPr="00E337E4">
        <w:rPr>
          <w:sz w:val="22"/>
          <w:szCs w:val="22"/>
        </w:rPr>
        <w:t xml:space="preserve">When the expedited procedure is used, the Designated Reviewer must specify the criteria for when the addition of an investigative site </w:t>
      </w:r>
      <w:proofErr w:type="gramStart"/>
      <w:r w:rsidRPr="00E337E4">
        <w:rPr>
          <w:sz w:val="22"/>
          <w:szCs w:val="22"/>
        </w:rPr>
        <w:t>is considered</w:t>
      </w:r>
      <w:proofErr w:type="gramEnd"/>
      <w:r w:rsidRPr="00E337E4">
        <w:rPr>
          <w:sz w:val="22"/>
          <w:szCs w:val="22"/>
        </w:rPr>
        <w:t xml:space="preserve"> </w:t>
      </w:r>
      <w:r w:rsidR="003C0F4D" w:rsidRPr="00E337E4">
        <w:rPr>
          <w:sz w:val="22"/>
          <w:szCs w:val="22"/>
        </w:rPr>
        <w:t>an expedited modification.</w:t>
      </w:r>
    </w:p>
    <w:p w:rsidR="00B34974" w:rsidRPr="00E337E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 w:rsidRPr="00E337E4">
        <w:rPr>
          <w:rFonts w:cs="Arial"/>
          <w:sz w:val="22"/>
          <w:szCs w:val="22"/>
        </w:rPr>
        <w:t>If consultation is needed follow HRP-051 - SOP - Consultation.</w:t>
      </w:r>
    </w:p>
    <w:p w:rsidR="00B34974" w:rsidRPr="00E337E4" w:rsidRDefault="00424B14">
      <w:pPr>
        <w:pStyle w:val="SOPLevel2"/>
        <w:spacing w:line="276" w:lineRule="auto"/>
        <w:rPr>
          <w:sz w:val="22"/>
          <w:szCs w:val="22"/>
        </w:rPr>
      </w:pPr>
      <w:r w:rsidRPr="00E337E4">
        <w:rPr>
          <w:sz w:val="22"/>
          <w:szCs w:val="22"/>
        </w:rPr>
        <w:t>Execute the “Submit Designated Review” activity.</w:t>
      </w:r>
    </w:p>
    <w:p w:rsidR="00842B21" w:rsidRPr="00842B21" w:rsidRDefault="00424B14" w:rsidP="00842B2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Return all materials and completed checklists to the IRB staff within </w:t>
      </w:r>
      <w:proofErr w:type="gramStart"/>
      <w:r>
        <w:rPr>
          <w:rFonts w:cs="Arial"/>
          <w:sz w:val="22"/>
          <w:szCs w:val="22"/>
        </w:rPr>
        <w:t>5</w:t>
      </w:r>
      <w:proofErr w:type="gramEnd"/>
      <w:r>
        <w:rPr>
          <w:rFonts w:cs="Arial"/>
          <w:sz w:val="22"/>
          <w:szCs w:val="22"/>
        </w:rPr>
        <w:t xml:space="preserve"> business days of receipt of materials.</w:t>
      </w:r>
    </w:p>
    <w:p w:rsidR="00B34974" w:rsidRDefault="00424B14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:rsidR="00B3497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HRP-051 - SOP - Consultation</w:t>
      </w:r>
    </w:p>
    <w:p w:rsidR="00B3497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HRP-312 - WORKSHEET - Exemption Determination</w:t>
      </w:r>
    </w:p>
    <w:p w:rsidR="00B34974" w:rsidRPr="001F14CB" w:rsidRDefault="00424B14" w:rsidP="001F14CB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HRP-314 - WORKSHEET - Criteria for Approval</w:t>
      </w:r>
    </w:p>
    <w:p w:rsidR="00B34974" w:rsidRDefault="00424B14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:rsidR="00B3497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21 CFR §56.110(b).</w:t>
      </w:r>
    </w:p>
    <w:p w:rsidR="00B3497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45 CFR §46.110(b).</w:t>
      </w:r>
    </w:p>
    <w:p w:rsidR="00B34974" w:rsidRDefault="00424B14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I.1.A, I.6.B, I.7.A, I-9, II.2.A-C, II.2.F-II.2.F.3, II.5.A</w:t>
      </w:r>
      <w:r>
        <w:rPr>
          <w:rFonts w:cs="Arial"/>
          <w:sz w:val="22"/>
          <w:szCs w:val="22"/>
        </w:rPr>
        <w:tab/>
      </w:r>
    </w:p>
    <w:sectPr w:rsidR="00B349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CDB" w:rsidRDefault="00142CDB" w:rsidP="00855EE6">
      <w:pPr>
        <w:spacing w:after="0" w:line="240" w:lineRule="auto"/>
      </w:pPr>
      <w:r>
        <w:separator/>
      </w:r>
    </w:p>
  </w:endnote>
  <w:endnote w:type="continuationSeparator" w:id="0">
    <w:p w:rsidR="00142CDB" w:rsidRDefault="00142CDB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74" w:rsidRDefault="00424B14" w:rsidP="0073252A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337E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337E4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4CB" w:rsidRPr="00E337E4" w:rsidRDefault="00424B14" w:rsidP="00E337E4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337E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337E4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CDB" w:rsidRDefault="00142CDB" w:rsidP="00855EE6">
      <w:pPr>
        <w:spacing w:after="0" w:line="240" w:lineRule="auto"/>
      </w:pPr>
      <w:r>
        <w:separator/>
      </w:r>
    </w:p>
  </w:footnote>
  <w:footnote w:type="continuationSeparator" w:id="0">
    <w:p w:rsidR="00142CDB" w:rsidRDefault="00142CDB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74" w:rsidRDefault="00B34974">
    <w:pPr>
      <w:pStyle w:val="Header"/>
      <w:jc w:val="center"/>
      <w:rPr>
        <w:noProof/>
      </w:rPr>
    </w:pPr>
  </w:p>
  <w:p w:rsidR="00B34974" w:rsidRDefault="00B34974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1225"/>
      <w:gridCol w:w="1205"/>
      <w:gridCol w:w="2183"/>
      <w:gridCol w:w="2121"/>
      <w:gridCol w:w="1125"/>
    </w:tblGrid>
    <w:tr w:rsidR="001F14CB" w:rsidRPr="0007408F" w:rsidTr="00AC1687">
      <w:trPr>
        <w:cantSplit/>
        <w:trHeight w:val="260"/>
      </w:trPr>
      <w:tc>
        <w:tcPr>
          <w:tcW w:w="206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1F14CB" w:rsidRPr="0007408F" w:rsidRDefault="001F14CB" w:rsidP="001F14CB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32733958" wp14:editId="096BA9AF">
                <wp:extent cx="1600282" cy="565179"/>
                <wp:effectExtent l="0" t="0" r="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F14CB" w:rsidRPr="0007408F" w:rsidRDefault="001F14CB" w:rsidP="001F14CB">
          <w:pPr>
            <w:pStyle w:val="SOPName"/>
            <w:spacing w:before="120" w:after="120"/>
            <w:jc w:val="center"/>
            <w:rPr>
              <w:rFonts w:cs="Arial"/>
            </w:rPr>
          </w:pPr>
          <w:r w:rsidRPr="0007408F">
            <w:rPr>
              <w:rStyle w:val="SOPLeader"/>
              <w:rFonts w:cs="Arial"/>
            </w:rPr>
            <w:t>SOP:</w:t>
          </w:r>
          <w:r w:rsidR="00E337E4">
            <w:rPr>
              <w:rStyle w:val="SOPLeader"/>
              <w:rFonts w:cs="Arial"/>
            </w:rPr>
            <w:t xml:space="preserve"> Non-Committee Review Conduct</w:t>
          </w:r>
        </w:p>
      </w:tc>
    </w:tr>
    <w:tr w:rsidR="001F14CB" w:rsidRPr="0007408F" w:rsidTr="00AC1687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1F14CB" w:rsidRPr="0007408F" w:rsidRDefault="001F14CB" w:rsidP="001F14CB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1F14CB" w:rsidRPr="0007408F" w:rsidRDefault="001F14CB" w:rsidP="001F14CB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1F14CB" w:rsidRPr="0007408F" w:rsidRDefault="001F14CB" w:rsidP="001F14CB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1F14CB" w:rsidRPr="0007408F" w:rsidRDefault="001F14CB" w:rsidP="001F14CB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AUTHOR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1F14CB" w:rsidRPr="0007408F" w:rsidRDefault="001F14CB" w:rsidP="001F14CB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1F14CB" w:rsidRPr="0007408F" w:rsidRDefault="001F14CB" w:rsidP="001F14CB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1F14CB" w:rsidRPr="0007408F" w:rsidTr="00AC1687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1F14CB" w:rsidRPr="0007408F" w:rsidRDefault="001F14CB" w:rsidP="001F14CB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1F14CB" w:rsidRPr="0007408F" w:rsidRDefault="001F14CB" w:rsidP="001F14CB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HRP-0</w:t>
          </w:r>
          <w:r>
            <w:rPr>
              <w:rFonts w:cs="Arial"/>
            </w:rPr>
            <w:t>32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1F14CB" w:rsidRPr="0007408F" w:rsidRDefault="00EE7160" w:rsidP="001F14CB">
          <w:pPr>
            <w:pStyle w:val="SOPTableEntry"/>
            <w:rPr>
              <w:rFonts w:cs="Arial"/>
            </w:rPr>
          </w:pPr>
          <w:r>
            <w:rPr>
              <w:rFonts w:cs="Arial"/>
            </w:rPr>
            <w:t>06/14</w:t>
          </w:r>
          <w:r w:rsidR="00FF1A2D">
            <w:rPr>
              <w:rFonts w:cs="Arial"/>
            </w:rPr>
            <w:t>/2023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1F14CB" w:rsidRPr="0007408F" w:rsidRDefault="001F14CB" w:rsidP="001F14CB">
          <w:pPr>
            <w:pStyle w:val="SOPTableEntry"/>
            <w:rPr>
              <w:rFonts w:cs="Arial"/>
            </w:rPr>
          </w:pPr>
          <w:r>
            <w:rPr>
              <w:rFonts w:cs="Arial"/>
            </w:rPr>
            <w:t>T. Bechert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1F14CB" w:rsidRPr="0007408F" w:rsidRDefault="001F14CB" w:rsidP="001F14CB">
          <w:pPr>
            <w:pStyle w:val="SOPTableEntry"/>
            <w:rPr>
              <w:rFonts w:cs="Arial"/>
            </w:rPr>
          </w:pPr>
          <w:r>
            <w:rPr>
              <w:rFonts w:cs="Arial"/>
            </w:rPr>
            <w:t>G. Martin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1F14CB" w:rsidRPr="0007408F" w:rsidRDefault="001F14CB" w:rsidP="001F14CB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E337E4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E337E4">
            <w:rPr>
              <w:rFonts w:cs="Arial"/>
              <w:noProof/>
            </w:rPr>
            <w:t>2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:rsidR="00B34974" w:rsidRDefault="00B34974">
    <w:pPr>
      <w:pStyle w:val="Header"/>
      <w:jc w:val="center"/>
    </w:pPr>
  </w:p>
  <w:p w:rsidR="00B34974" w:rsidRDefault="00B3497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E6"/>
    <w:rsid w:val="0001357A"/>
    <w:rsid w:val="00073852"/>
    <w:rsid w:val="00082AFF"/>
    <w:rsid w:val="00095BC7"/>
    <w:rsid w:val="00097C68"/>
    <w:rsid w:val="000E220B"/>
    <w:rsid w:val="000F5F1B"/>
    <w:rsid w:val="00107304"/>
    <w:rsid w:val="00112F1A"/>
    <w:rsid w:val="00142CDB"/>
    <w:rsid w:val="00150F7C"/>
    <w:rsid w:val="001F14CB"/>
    <w:rsid w:val="00216912"/>
    <w:rsid w:val="00272E9B"/>
    <w:rsid w:val="002A0DD4"/>
    <w:rsid w:val="002B681F"/>
    <w:rsid w:val="002C2767"/>
    <w:rsid w:val="0030181F"/>
    <w:rsid w:val="00307343"/>
    <w:rsid w:val="00326316"/>
    <w:rsid w:val="00326970"/>
    <w:rsid w:val="0034262A"/>
    <w:rsid w:val="0035722D"/>
    <w:rsid w:val="00376FA0"/>
    <w:rsid w:val="00397D6B"/>
    <w:rsid w:val="003C0F4D"/>
    <w:rsid w:val="003E5AE2"/>
    <w:rsid w:val="003F35F5"/>
    <w:rsid w:val="00413B76"/>
    <w:rsid w:val="00424B14"/>
    <w:rsid w:val="00432636"/>
    <w:rsid w:val="00433C87"/>
    <w:rsid w:val="004709CB"/>
    <w:rsid w:val="004B05DE"/>
    <w:rsid w:val="004E2CCD"/>
    <w:rsid w:val="00512CDD"/>
    <w:rsid w:val="005678B9"/>
    <w:rsid w:val="00574247"/>
    <w:rsid w:val="0059053B"/>
    <w:rsid w:val="005C5C4B"/>
    <w:rsid w:val="00612FDA"/>
    <w:rsid w:val="0062282F"/>
    <w:rsid w:val="00625EFE"/>
    <w:rsid w:val="00636276"/>
    <w:rsid w:val="00650A58"/>
    <w:rsid w:val="00663DFC"/>
    <w:rsid w:val="00675EB8"/>
    <w:rsid w:val="006844F4"/>
    <w:rsid w:val="00695219"/>
    <w:rsid w:val="006C3173"/>
    <w:rsid w:val="006F23D2"/>
    <w:rsid w:val="0073252A"/>
    <w:rsid w:val="007469E0"/>
    <w:rsid w:val="0076301A"/>
    <w:rsid w:val="00821C23"/>
    <w:rsid w:val="0084152D"/>
    <w:rsid w:val="00842B21"/>
    <w:rsid w:val="008546AF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D46C8"/>
    <w:rsid w:val="00915462"/>
    <w:rsid w:val="00917358"/>
    <w:rsid w:val="009A6F36"/>
    <w:rsid w:val="009C1EE8"/>
    <w:rsid w:val="00A529FE"/>
    <w:rsid w:val="00A6026C"/>
    <w:rsid w:val="00AC2F0C"/>
    <w:rsid w:val="00AC4ED1"/>
    <w:rsid w:val="00B23768"/>
    <w:rsid w:val="00B23D93"/>
    <w:rsid w:val="00B34974"/>
    <w:rsid w:val="00B54DF7"/>
    <w:rsid w:val="00B61F4A"/>
    <w:rsid w:val="00B8644A"/>
    <w:rsid w:val="00BB2AC7"/>
    <w:rsid w:val="00BF2F85"/>
    <w:rsid w:val="00C11900"/>
    <w:rsid w:val="00C468AA"/>
    <w:rsid w:val="00C536C2"/>
    <w:rsid w:val="00C75CAF"/>
    <w:rsid w:val="00C97E43"/>
    <w:rsid w:val="00CE71B7"/>
    <w:rsid w:val="00D35E6A"/>
    <w:rsid w:val="00D42EF7"/>
    <w:rsid w:val="00D926D2"/>
    <w:rsid w:val="00E0288C"/>
    <w:rsid w:val="00E03B71"/>
    <w:rsid w:val="00E03D8D"/>
    <w:rsid w:val="00E337E4"/>
    <w:rsid w:val="00E33C34"/>
    <w:rsid w:val="00E34769"/>
    <w:rsid w:val="00E61D55"/>
    <w:rsid w:val="00EE39FA"/>
    <w:rsid w:val="00EE7160"/>
    <w:rsid w:val="00EF642F"/>
    <w:rsid w:val="00F116D8"/>
    <w:rsid w:val="00F21D47"/>
    <w:rsid w:val="00F40567"/>
    <w:rsid w:val="00F84AEF"/>
    <w:rsid w:val="00FE1862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5EB617F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1F14CB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F14CB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1F14CB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1F14CB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A2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42B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c2ea0786-c62f-461e-8137-5f11c0e77141"/>
    <ds:schemaRef ds:uri="http://schemas.openxmlformats.org/package/2006/metadata/core-properties"/>
    <ds:schemaRef ds:uri="4385ab65-09ca-4886-862c-f1f34fdd81c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351A0-D2B1-4309-A8F5-5E9F05605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Kucera, Jennifer</cp:lastModifiedBy>
  <cp:revision>2</cp:revision>
  <dcterms:created xsi:type="dcterms:W3CDTF">2023-06-14T21:01:00Z</dcterms:created>
  <dcterms:modified xsi:type="dcterms:W3CDTF">2023-06-14T21:01:00Z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